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16243B"/>
          <w:sz w:val="40"/>
        </w:rPr>
        <w:t>Medical Chronology Template</w:t>
      </w:r>
    </w:p>
    <w:p>
      <w:pPr>
        <w:spacing w:after="200"/>
      </w:pPr>
      <w:r>
        <w:rPr>
          <w:b w:val="0"/>
          <w:color w:val="5B667A"/>
          <w:sz w:val="22"/>
        </w:rPr>
        <w:t>Free template — US personal injury and medical malpractice matters</w:t>
      </w:r>
    </w:p>
    <w:p>
      <w:pPr>
        <w:spacing w:after="80"/>
      </w:pPr>
      <w:r>
        <w:rPr>
          <w:b/>
          <w:color w:val="16243B"/>
          <w:sz w:val="26"/>
        </w:rPr>
        <w:t>How to use this template</w:t>
      </w:r>
    </w:p>
    <w:p>
      <w:pPr>
        <w:pStyle w:val="ListBullet"/>
        <w:spacing w:after="40"/>
      </w:pPr>
      <w:r>
        <w:rPr>
          <w:b w:val="0"/>
          <w:sz w:val="21"/>
        </w:rPr>
        <w:t>List every clinically significant event in date order: each visit, complaint, examination finding, diagnostic study, diagnosis, treatment, referral and follow-up.</w:t>
      </w:r>
    </w:p>
    <w:p>
      <w:pPr>
        <w:pStyle w:val="ListBullet"/>
        <w:spacing w:after="40"/>
      </w:pPr>
      <w:r>
        <w:rPr>
          <w:b w:val="0"/>
          <w:sz w:val="21"/>
        </w:rPr>
        <w:t>Keep each entry short and factual: what happened, which provider, and the key finding. Quote the record where the wording matters; do not paraphrase a diagnosis.</w:t>
      </w:r>
    </w:p>
    <w:p>
      <w:pPr>
        <w:pStyle w:val="ListBullet"/>
        <w:spacing w:after="40"/>
      </w:pPr>
      <w:r>
        <w:rPr>
          <w:b w:val="0"/>
          <w:sz w:val="21"/>
        </w:rPr>
        <w:t>Always complete the Source column with the producing party's Bates number or the document and page. An entry that cannot be traced back to the record will have to be re-verified before it goes to an expert or into a deposition outline.</w:t>
      </w:r>
    </w:p>
    <w:p>
      <w:pPr>
        <w:pStyle w:val="ListBullet"/>
        <w:spacing w:after="40"/>
      </w:pPr>
      <w:r>
        <w:rPr>
          <w:b w:val="0"/>
          <w:sz w:val="21"/>
        </w:rPr>
        <w:t>Use the Significance column to flag entries bearing on causation, pre-existing conditions, gaps in treatment, prognosis or damages, so they stand out on a long chronology.</w:t>
      </w:r>
    </w:p>
    <w:p>
      <w:pPr>
        <w:pStyle w:val="ListBullet"/>
        <w:spacing w:after="40"/>
      </w:pPr>
      <w:r>
        <w:rPr>
          <w:b w:val="0"/>
          <w:sz w:val="21"/>
        </w:rPr>
        <w:t>Keep the patient's identifiers on the cover block only, not repeated on every row, so the chronology can be shared under a protective order with minimal redaction.</w:t>
      </w:r>
    </w:p>
    <w:p>
      <w:pPr>
        <w:pStyle w:val="ListBullet"/>
        <w:spacing w:after="40"/>
      </w:pPr>
      <w:r>
        <w:rPr>
          <w:b w:val="0"/>
          <w:sz w:val="21"/>
        </w:rPr>
        <w:t>Record the records custodian and the date range received for each provider set, so gaps in the production are visible before an expert reads it.</w:t>
      </w:r>
    </w:p>
    <w:p>
      <w:pPr>
        <w:spacing w:after="80"/>
      </w:pPr>
      <w:r>
        <w:rPr>
          <w:b w:val="0"/>
          <w:sz w:val="12"/>
        </w:rPr>
      </w:r>
    </w:p>
    <w:p>
      <w:pPr>
        <w:spacing w:after="80"/>
      </w:pPr>
      <w:r>
        <w:rPr>
          <w:b/>
          <w:color w:val="16243B"/>
          <w:sz w:val="26"/>
        </w:rPr>
        <w:t>Patient and matter details</w:t>
      </w:r>
    </w:p>
    <w:tbl>
      <w:tblPr>
        <w:tblStyle w:val="TableGrid"/>
        <w:tblW w:type="auto" w:w="0"/>
        <w:tblLook w:firstColumn="1" w:firstRow="1" w:lastColumn="0" w:lastRow="0" w:noHBand="0" w:noVBand="1" w:val="04A0"/>
      </w:tblPr>
      <w:tblGrid>
        <w:gridCol w:w="3744"/>
        <w:gridCol w:w="9936"/>
      </w:tblGrid>
      <w:tr>
        <w:tc>
          <w:tcPr>
            <w:tcW w:type="dxa" w:w="3744"/>
            <w:shd w:val="clear" w:color="auto" w:fill="F3F7F5"/>
          </w:tcPr>
          <w:p>
            <w:r>
              <w:rPr>
                <w:b/>
                <w:sz w:val="20"/>
              </w:rPr>
              <w:t>Patient / plaintiff</w:t>
            </w:r>
          </w:p>
        </w:tc>
        <w:tc>
          <w:tcPr>
            <w:tcW w:type="dxa" w:w="9936"/>
          </w:tcPr>
          <w:p>
            <w:r>
              <w:rPr>
                <w:sz w:val="20"/>
              </w:rPr>
            </w:r>
          </w:p>
        </w:tc>
      </w:tr>
      <w:tr>
        <w:tc>
          <w:tcPr>
            <w:tcW w:type="dxa" w:w="3744"/>
            <w:shd w:val="clear" w:color="auto" w:fill="F3F7F5"/>
          </w:tcPr>
          <w:p>
            <w:r>
              <w:rPr>
                <w:b/>
                <w:sz w:val="20"/>
              </w:rPr>
              <w:t>Date of birth</w:t>
            </w:r>
          </w:p>
        </w:tc>
        <w:tc>
          <w:tcPr>
            <w:tcW w:type="dxa" w:w="9936"/>
          </w:tcPr>
          <w:p>
            <w:r>
              <w:rPr>
                <w:sz w:val="20"/>
              </w:rPr>
            </w:r>
          </w:p>
        </w:tc>
      </w:tr>
      <w:tr>
        <w:tc>
          <w:tcPr>
            <w:tcW w:type="dxa" w:w="3744"/>
            <w:shd w:val="clear" w:color="auto" w:fill="F3F7F5"/>
          </w:tcPr>
          <w:p>
            <w:r>
              <w:rPr>
                <w:b/>
                <w:sz w:val="20"/>
              </w:rPr>
              <w:t>Date of incident / injury</w:t>
            </w:r>
          </w:p>
        </w:tc>
        <w:tc>
          <w:tcPr>
            <w:tcW w:type="dxa" w:w="9936"/>
          </w:tcPr>
          <w:p>
            <w:r>
              <w:rPr>
                <w:sz w:val="20"/>
              </w:rPr>
            </w:r>
          </w:p>
        </w:tc>
      </w:tr>
      <w:tr>
        <w:tc>
          <w:tcPr>
            <w:tcW w:type="dxa" w:w="3744"/>
            <w:shd w:val="clear" w:color="auto" w:fill="F3F7F5"/>
          </w:tcPr>
          <w:p>
            <w:r>
              <w:rPr>
                <w:b/>
                <w:sz w:val="20"/>
              </w:rPr>
              <w:t>Matter / file number</w:t>
            </w:r>
          </w:p>
        </w:tc>
        <w:tc>
          <w:tcPr>
            <w:tcW w:type="dxa" w:w="9936"/>
          </w:tcPr>
          <w:p>
            <w:r>
              <w:rPr>
                <w:sz w:val="20"/>
              </w:rPr>
            </w:r>
          </w:p>
        </w:tc>
      </w:tr>
      <w:tr>
        <w:tc>
          <w:tcPr>
            <w:tcW w:type="dxa" w:w="3744"/>
            <w:shd w:val="clear" w:color="auto" w:fill="F3F7F5"/>
          </w:tcPr>
          <w:p>
            <w:r>
              <w:rPr>
                <w:b/>
                <w:sz w:val="20"/>
              </w:rPr>
              <w:t>Providers and date ranges received</w:t>
            </w:r>
          </w:p>
        </w:tc>
        <w:tc>
          <w:tcPr>
            <w:tcW w:type="dxa" w:w="9936"/>
          </w:tcPr>
          <w:p>
            <w:r>
              <w:rPr>
                <w:sz w:val="20"/>
              </w:rPr>
            </w:r>
          </w:p>
        </w:tc>
      </w:tr>
      <w:tr>
        <w:tc>
          <w:tcPr>
            <w:tcW w:type="dxa" w:w="3744"/>
            <w:shd w:val="clear" w:color="auto" w:fill="F3F7F5"/>
          </w:tcPr>
          <w:p>
            <w:r>
              <w:rPr>
                <w:b/>
                <w:sz w:val="20"/>
              </w:rPr>
              <w:t>Prepared by / date</w:t>
            </w:r>
          </w:p>
        </w:tc>
        <w:tc>
          <w:tcPr>
            <w:tcW w:type="dxa" w:w="9936"/>
          </w:tcPr>
          <w:p>
            <w:r>
              <w:rPr>
                <w:sz w:val="20"/>
              </w:rPr>
            </w:r>
          </w:p>
        </w:tc>
      </w:tr>
    </w:tbl>
    <w:p>
      <w:pPr>
        <w:spacing w:after="80"/>
      </w:pPr>
      <w:r>
        <w:rPr>
          <w:b w:val="0"/>
          <w:sz w:val="12"/>
        </w:rPr>
      </w:r>
    </w:p>
    <w:p>
      <w:pPr>
        <w:spacing w:after="80"/>
      </w:pPr>
      <w:r>
        <w:rPr>
          <w:b/>
          <w:color w:val="16243B"/>
          <w:sz w:val="26"/>
        </w:rPr>
        <w:t>Chronology of medical events</w:t>
      </w:r>
    </w:p>
    <w:tbl>
      <w:tblPr>
        <w:tblStyle w:val="TableGrid"/>
        <w:tblW w:type="auto" w:w="0"/>
        <w:tblLook w:firstColumn="1" w:firstRow="1" w:lastColumn="0" w:lastRow="0" w:noHBand="0" w:noVBand="1" w:val="04A0"/>
      </w:tblPr>
      <w:tblGrid>
        <w:gridCol w:w="2304"/>
        <w:gridCol w:w="2304"/>
        <w:gridCol w:w="2304"/>
        <w:gridCol w:w="2304"/>
        <w:gridCol w:w="2304"/>
        <w:gridCol w:w="2304"/>
      </w:tblGrid>
      <w:tr>
        <w:tc>
          <w:tcPr>
            <w:tcW w:type="dxa" w:w="1368"/>
            <w:shd w:val="clear" w:color="auto" w:fill="1C7A55"/>
          </w:tcPr>
          <w:p>
            <w:r>
              <w:rPr>
                <w:b/>
                <w:color w:val="FFFFFF"/>
                <w:sz w:val="19"/>
              </w:rPr>
              <w:t>Date</w:t>
            </w:r>
          </w:p>
        </w:tc>
        <w:tc>
          <w:tcPr>
            <w:tcW w:type="dxa" w:w="2304"/>
            <w:shd w:val="clear" w:color="auto" w:fill="1C7A55"/>
          </w:tcPr>
          <w:p>
            <w:r>
              <w:rPr>
                <w:b/>
                <w:color w:val="FFFFFF"/>
                <w:sz w:val="19"/>
              </w:rPr>
              <w:t>Provider / facility</w:t>
            </w:r>
          </w:p>
        </w:tc>
        <w:tc>
          <w:tcPr>
            <w:tcW w:type="dxa" w:w="4320"/>
            <w:shd w:val="clear" w:color="auto" w:fill="1C7A55"/>
          </w:tcPr>
          <w:p>
            <w:r>
              <w:rPr>
                <w:b/>
                <w:color w:val="FFFFFF"/>
                <w:sz w:val="19"/>
              </w:rPr>
              <w:t>Event / presentation and findings</w:t>
            </w:r>
          </w:p>
        </w:tc>
        <w:tc>
          <w:tcPr>
            <w:tcW w:type="dxa" w:w="2448"/>
            <w:shd w:val="clear" w:color="auto" w:fill="1C7A55"/>
          </w:tcPr>
          <w:p>
            <w:r>
              <w:rPr>
                <w:b/>
                <w:color w:val="FFFFFF"/>
                <w:sz w:val="19"/>
              </w:rPr>
              <w:t>Diagnosis / treatment</w:t>
            </w:r>
          </w:p>
        </w:tc>
        <w:tc>
          <w:tcPr>
            <w:tcW w:type="dxa" w:w="1656"/>
            <w:shd w:val="clear" w:color="auto" w:fill="1C7A55"/>
          </w:tcPr>
          <w:p>
            <w:r>
              <w:rPr>
                <w:b/>
                <w:color w:val="FFFFFF"/>
                <w:sz w:val="19"/>
              </w:rPr>
              <w:t>Significance</w:t>
            </w:r>
          </w:p>
        </w:tc>
        <w:tc>
          <w:tcPr>
            <w:tcW w:type="dxa" w:w="1728"/>
            <w:shd w:val="clear" w:color="auto" w:fill="1C7A55"/>
          </w:tcPr>
          <w:p>
            <w:r>
              <w:rPr>
                <w:b/>
                <w:color w:val="FFFFFF"/>
                <w:sz w:val="19"/>
              </w:rPr>
              <w:t>Source (Bates / doc &amp; page)</w:t>
            </w:r>
          </w:p>
        </w:tc>
      </w:tr>
      <w:tr>
        <w:tc>
          <w:tcPr>
            <w:tcW w:type="dxa" w:w="1368"/>
          </w:tcPr>
          <w:p>
            <w:r>
              <w:rPr>
                <w:color w:val="5B667A"/>
                <w:sz w:val="19"/>
              </w:rPr>
              <w:t>03/15/2024</w:t>
            </w:r>
          </w:p>
        </w:tc>
        <w:tc>
          <w:tcPr>
            <w:tcW w:type="dxa" w:w="2304"/>
          </w:tcPr>
          <w:p>
            <w:r>
              <w:rPr>
                <w:sz w:val="19"/>
              </w:rPr>
              <w:t>City General Hospital, Emergency Dept (Dr. L. Chen)</w:t>
            </w:r>
          </w:p>
        </w:tc>
        <w:tc>
          <w:tcPr>
            <w:tcW w:type="dxa" w:w="4320"/>
          </w:tcPr>
          <w:p>
            <w:r>
              <w:rPr>
                <w:sz w:val="19"/>
              </w:rPr>
              <w:t>Presented by ambulance after T-bone collision, restrained driver, airbags deployed, no LOC. Cervical and lumbar spine tenderness with limited ROM; left shoulder tenderness. CT head negative; C-spine, L-spine and shoulder X-rays: no fracture.</w:t>
            </w:r>
          </w:p>
        </w:tc>
        <w:tc>
          <w:tcPr>
            <w:tcW w:type="dxa" w:w="2448"/>
          </w:tcPr>
          <w:p>
            <w:r>
              <w:rPr>
                <w:sz w:val="19"/>
              </w:rPr>
              <w:t>Cervical strain (whiplash); lumbar strain; left shoulder contusion. Discharged with NSAIDs and muscle relaxant; PT referral.</w:t>
            </w:r>
          </w:p>
        </w:tc>
        <w:tc>
          <w:tcPr>
            <w:tcW w:type="dxa" w:w="1656"/>
          </w:tcPr>
          <w:p>
            <w:r>
              <w:rPr>
                <w:sz w:val="19"/>
              </w:rPr>
              <w:t>Mechanism; initial injury; no fracture</w:t>
            </w:r>
          </w:p>
        </w:tc>
        <w:tc>
          <w:tcPr>
            <w:tcW w:type="dxa" w:w="1728"/>
          </w:tcPr>
          <w:p>
            <w:r>
              <w:rPr>
                <w:sz w:val="19"/>
              </w:rPr>
              <w:t>CGH 000012–000015</w:t>
            </w:r>
          </w:p>
        </w:tc>
      </w:tr>
      <w:tr>
        <w:tc>
          <w:tcPr>
            <w:tcW w:type="dxa" w:w="1368"/>
          </w:tcPr>
          <w:p>
            <w:r>
              <w:rPr>
                <w:color w:val="5B667A"/>
                <w:sz w:val="19"/>
              </w:rPr>
              <w:t>03/22/2024</w:t>
            </w:r>
          </w:p>
        </w:tc>
        <w:tc>
          <w:tcPr>
            <w:tcW w:type="dxa" w:w="2304"/>
          </w:tcPr>
          <w:p>
            <w:r>
              <w:rPr>
                <w:sz w:val="19"/>
              </w:rPr>
              <w:t>Riverside Physical Therapy (J. Alvarez, PT)</w:t>
            </w:r>
          </w:p>
        </w:tc>
        <w:tc>
          <w:tcPr>
            <w:tcW w:type="dxa" w:w="4320"/>
          </w:tcPr>
          <w:p>
            <w:r>
              <w:rPr>
                <w:sz w:val="19"/>
              </w:rPr>
              <w:t>Initial evaluation. Neck pain 6/10, low back pain 5/10. Cervical rotation reduced ~40% bilaterally.</w:t>
            </w:r>
          </w:p>
        </w:tc>
        <w:tc>
          <w:tcPr>
            <w:tcW w:type="dxa" w:w="2448"/>
          </w:tcPr>
          <w:p>
            <w:r>
              <w:rPr>
                <w:sz w:val="19"/>
              </w:rPr>
              <w:t>Plan: 2× weekly for 6 weeks, manual therapy and HEP.</w:t>
            </w:r>
          </w:p>
        </w:tc>
        <w:tc>
          <w:tcPr>
            <w:tcW w:type="dxa" w:w="1656"/>
          </w:tcPr>
          <w:p>
            <w:r>
              <w:rPr>
                <w:sz w:val="19"/>
              </w:rPr>
              <w:t>Treatment start; baseline function</w:t>
            </w:r>
          </w:p>
        </w:tc>
        <w:tc>
          <w:tcPr>
            <w:tcW w:type="dxa" w:w="1728"/>
          </w:tcPr>
          <w:p>
            <w:r>
              <w:rPr>
                <w:sz w:val="19"/>
              </w:rPr>
              <w:t>RPT 000003–000004</w:t>
            </w:r>
          </w:p>
        </w:tc>
      </w:tr>
      <w:tr>
        <w:tc>
          <w:tcPr>
            <w:tcW w:type="dxa" w:w="1368"/>
          </w:tcPr>
          <w:p>
            <w:pPr>
              <w:spacing w:after="160"/>
            </w:pPr>
            <w:r/>
          </w:p>
        </w:tc>
        <w:tc>
          <w:tcPr>
            <w:tcW w:type="dxa" w:w="2304"/>
          </w:tcPr>
          <w:p>
            <w:pPr>
              <w:spacing w:after="160"/>
            </w:pPr>
            <w:r/>
          </w:p>
        </w:tc>
        <w:tc>
          <w:tcPr>
            <w:tcW w:type="dxa" w:w="4320"/>
          </w:tcPr>
          <w:p>
            <w:pPr>
              <w:spacing w:after="160"/>
            </w:pPr>
            <w:r/>
          </w:p>
        </w:tc>
        <w:tc>
          <w:tcPr>
            <w:tcW w:type="dxa" w:w="2448"/>
          </w:tcPr>
          <w:p>
            <w:pPr>
              <w:spacing w:after="160"/>
            </w:pPr>
            <w:r/>
          </w:p>
        </w:tc>
        <w:tc>
          <w:tcPr>
            <w:tcW w:type="dxa" w:w="1656"/>
          </w:tcPr>
          <w:p>
            <w:pPr>
              <w:spacing w:after="160"/>
            </w:pPr>
            <w:r/>
          </w:p>
        </w:tc>
        <w:tc>
          <w:tcPr>
            <w:tcW w:type="dxa" w:w="1728"/>
          </w:tcPr>
          <w:p>
            <w:pPr>
              <w:spacing w:after="160"/>
            </w:pPr>
            <w:r/>
          </w:p>
        </w:tc>
      </w:tr>
      <w:tr>
        <w:tc>
          <w:tcPr>
            <w:tcW w:type="dxa" w:w="1368"/>
          </w:tcPr>
          <w:p>
            <w:pPr>
              <w:spacing w:after="160"/>
            </w:pPr>
            <w:r/>
          </w:p>
        </w:tc>
        <w:tc>
          <w:tcPr>
            <w:tcW w:type="dxa" w:w="2304"/>
          </w:tcPr>
          <w:p>
            <w:pPr>
              <w:spacing w:after="160"/>
            </w:pPr>
            <w:r/>
          </w:p>
        </w:tc>
        <w:tc>
          <w:tcPr>
            <w:tcW w:type="dxa" w:w="4320"/>
          </w:tcPr>
          <w:p>
            <w:pPr>
              <w:spacing w:after="160"/>
            </w:pPr>
            <w:r/>
          </w:p>
        </w:tc>
        <w:tc>
          <w:tcPr>
            <w:tcW w:type="dxa" w:w="2448"/>
          </w:tcPr>
          <w:p>
            <w:pPr>
              <w:spacing w:after="160"/>
            </w:pPr>
            <w:r/>
          </w:p>
        </w:tc>
        <w:tc>
          <w:tcPr>
            <w:tcW w:type="dxa" w:w="1656"/>
          </w:tcPr>
          <w:p>
            <w:pPr>
              <w:spacing w:after="160"/>
            </w:pPr>
            <w:r/>
          </w:p>
        </w:tc>
        <w:tc>
          <w:tcPr>
            <w:tcW w:type="dxa" w:w="1728"/>
          </w:tcPr>
          <w:p>
            <w:pPr>
              <w:spacing w:after="160"/>
            </w:pPr>
            <w:r/>
          </w:p>
        </w:tc>
      </w:tr>
      <w:tr>
        <w:tc>
          <w:tcPr>
            <w:tcW w:type="dxa" w:w="1368"/>
          </w:tcPr>
          <w:p>
            <w:pPr>
              <w:spacing w:after="160"/>
            </w:pPr>
            <w:r/>
          </w:p>
        </w:tc>
        <w:tc>
          <w:tcPr>
            <w:tcW w:type="dxa" w:w="2304"/>
          </w:tcPr>
          <w:p>
            <w:pPr>
              <w:spacing w:after="160"/>
            </w:pPr>
            <w:r/>
          </w:p>
        </w:tc>
        <w:tc>
          <w:tcPr>
            <w:tcW w:type="dxa" w:w="4320"/>
          </w:tcPr>
          <w:p>
            <w:pPr>
              <w:spacing w:after="160"/>
            </w:pPr>
            <w:r/>
          </w:p>
        </w:tc>
        <w:tc>
          <w:tcPr>
            <w:tcW w:type="dxa" w:w="2448"/>
          </w:tcPr>
          <w:p>
            <w:pPr>
              <w:spacing w:after="160"/>
            </w:pPr>
            <w:r/>
          </w:p>
        </w:tc>
        <w:tc>
          <w:tcPr>
            <w:tcW w:type="dxa" w:w="1656"/>
          </w:tcPr>
          <w:p>
            <w:pPr>
              <w:spacing w:after="160"/>
            </w:pPr>
            <w:r/>
          </w:p>
        </w:tc>
        <w:tc>
          <w:tcPr>
            <w:tcW w:type="dxa" w:w="1728"/>
          </w:tcPr>
          <w:p>
            <w:pPr>
              <w:spacing w:after="160"/>
            </w:pPr>
            <w:r/>
          </w:p>
        </w:tc>
      </w:tr>
      <w:tr>
        <w:tc>
          <w:tcPr>
            <w:tcW w:type="dxa" w:w="1368"/>
          </w:tcPr>
          <w:p>
            <w:pPr>
              <w:spacing w:after="160"/>
            </w:pPr>
            <w:r/>
          </w:p>
        </w:tc>
        <w:tc>
          <w:tcPr>
            <w:tcW w:type="dxa" w:w="2304"/>
          </w:tcPr>
          <w:p>
            <w:pPr>
              <w:spacing w:after="160"/>
            </w:pPr>
            <w:r/>
          </w:p>
        </w:tc>
        <w:tc>
          <w:tcPr>
            <w:tcW w:type="dxa" w:w="4320"/>
          </w:tcPr>
          <w:p>
            <w:pPr>
              <w:spacing w:after="160"/>
            </w:pPr>
            <w:r/>
          </w:p>
        </w:tc>
        <w:tc>
          <w:tcPr>
            <w:tcW w:type="dxa" w:w="2448"/>
          </w:tcPr>
          <w:p>
            <w:pPr>
              <w:spacing w:after="160"/>
            </w:pPr>
            <w:r/>
          </w:p>
        </w:tc>
        <w:tc>
          <w:tcPr>
            <w:tcW w:type="dxa" w:w="1656"/>
          </w:tcPr>
          <w:p>
            <w:pPr>
              <w:spacing w:after="160"/>
            </w:pPr>
            <w:r/>
          </w:p>
        </w:tc>
        <w:tc>
          <w:tcPr>
            <w:tcW w:type="dxa" w:w="1728"/>
          </w:tcPr>
          <w:p>
            <w:pPr>
              <w:spacing w:after="160"/>
            </w:pPr>
            <w:r/>
          </w:p>
        </w:tc>
      </w:tr>
      <w:tr>
        <w:tc>
          <w:tcPr>
            <w:tcW w:type="dxa" w:w="1368"/>
          </w:tcPr>
          <w:p>
            <w:pPr>
              <w:spacing w:after="160"/>
            </w:pPr>
            <w:r/>
          </w:p>
        </w:tc>
        <w:tc>
          <w:tcPr>
            <w:tcW w:type="dxa" w:w="2304"/>
          </w:tcPr>
          <w:p>
            <w:pPr>
              <w:spacing w:after="160"/>
            </w:pPr>
            <w:r/>
          </w:p>
        </w:tc>
        <w:tc>
          <w:tcPr>
            <w:tcW w:type="dxa" w:w="4320"/>
          </w:tcPr>
          <w:p>
            <w:pPr>
              <w:spacing w:after="160"/>
            </w:pPr>
            <w:r/>
          </w:p>
        </w:tc>
        <w:tc>
          <w:tcPr>
            <w:tcW w:type="dxa" w:w="2448"/>
          </w:tcPr>
          <w:p>
            <w:pPr>
              <w:spacing w:after="160"/>
            </w:pPr>
            <w:r/>
          </w:p>
        </w:tc>
        <w:tc>
          <w:tcPr>
            <w:tcW w:type="dxa" w:w="1656"/>
          </w:tcPr>
          <w:p>
            <w:pPr>
              <w:spacing w:after="160"/>
            </w:pPr>
            <w:r/>
          </w:p>
        </w:tc>
        <w:tc>
          <w:tcPr>
            <w:tcW w:type="dxa" w:w="1728"/>
          </w:tcPr>
          <w:p>
            <w:pPr>
              <w:spacing w:after="160"/>
            </w:pPr>
            <w:r/>
          </w:p>
        </w:tc>
      </w:tr>
      <w:tr>
        <w:tc>
          <w:tcPr>
            <w:tcW w:type="dxa" w:w="1368"/>
          </w:tcPr>
          <w:p>
            <w:pPr>
              <w:spacing w:after="160"/>
            </w:pPr>
            <w:r/>
          </w:p>
        </w:tc>
        <w:tc>
          <w:tcPr>
            <w:tcW w:type="dxa" w:w="2304"/>
          </w:tcPr>
          <w:p>
            <w:pPr>
              <w:spacing w:after="160"/>
            </w:pPr>
            <w:r/>
          </w:p>
        </w:tc>
        <w:tc>
          <w:tcPr>
            <w:tcW w:type="dxa" w:w="4320"/>
          </w:tcPr>
          <w:p>
            <w:pPr>
              <w:spacing w:after="160"/>
            </w:pPr>
            <w:r/>
          </w:p>
        </w:tc>
        <w:tc>
          <w:tcPr>
            <w:tcW w:type="dxa" w:w="2448"/>
          </w:tcPr>
          <w:p>
            <w:pPr>
              <w:spacing w:after="160"/>
            </w:pPr>
            <w:r/>
          </w:p>
        </w:tc>
        <w:tc>
          <w:tcPr>
            <w:tcW w:type="dxa" w:w="1656"/>
          </w:tcPr>
          <w:p>
            <w:pPr>
              <w:spacing w:after="160"/>
            </w:pPr>
            <w:r/>
          </w:p>
        </w:tc>
        <w:tc>
          <w:tcPr>
            <w:tcW w:type="dxa" w:w="1728"/>
          </w:tcPr>
          <w:p>
            <w:pPr>
              <w:spacing w:after="160"/>
            </w:pPr>
            <w:r/>
          </w:p>
        </w:tc>
      </w:tr>
      <w:tr>
        <w:tc>
          <w:tcPr>
            <w:tcW w:type="dxa" w:w="1368"/>
          </w:tcPr>
          <w:p>
            <w:pPr>
              <w:spacing w:after="160"/>
            </w:pPr>
            <w:r/>
          </w:p>
        </w:tc>
        <w:tc>
          <w:tcPr>
            <w:tcW w:type="dxa" w:w="2304"/>
          </w:tcPr>
          <w:p>
            <w:pPr>
              <w:spacing w:after="160"/>
            </w:pPr>
            <w:r/>
          </w:p>
        </w:tc>
        <w:tc>
          <w:tcPr>
            <w:tcW w:type="dxa" w:w="4320"/>
          </w:tcPr>
          <w:p>
            <w:pPr>
              <w:spacing w:after="160"/>
            </w:pPr>
            <w:r/>
          </w:p>
        </w:tc>
        <w:tc>
          <w:tcPr>
            <w:tcW w:type="dxa" w:w="2448"/>
          </w:tcPr>
          <w:p>
            <w:pPr>
              <w:spacing w:after="160"/>
            </w:pPr>
            <w:r/>
          </w:p>
        </w:tc>
        <w:tc>
          <w:tcPr>
            <w:tcW w:type="dxa" w:w="1656"/>
          </w:tcPr>
          <w:p>
            <w:pPr>
              <w:spacing w:after="160"/>
            </w:pPr>
            <w:r/>
          </w:p>
        </w:tc>
        <w:tc>
          <w:tcPr>
            <w:tcW w:type="dxa" w:w="1728"/>
          </w:tcPr>
          <w:p>
            <w:pPr>
              <w:spacing w:after="160"/>
            </w:pPr>
            <w:r/>
          </w:p>
        </w:tc>
      </w:tr>
      <w:tr>
        <w:tc>
          <w:tcPr>
            <w:tcW w:type="dxa" w:w="1368"/>
          </w:tcPr>
          <w:p>
            <w:pPr>
              <w:spacing w:after="160"/>
            </w:pPr>
            <w:r/>
          </w:p>
        </w:tc>
        <w:tc>
          <w:tcPr>
            <w:tcW w:type="dxa" w:w="2304"/>
          </w:tcPr>
          <w:p>
            <w:pPr>
              <w:spacing w:after="160"/>
            </w:pPr>
            <w:r/>
          </w:p>
        </w:tc>
        <w:tc>
          <w:tcPr>
            <w:tcW w:type="dxa" w:w="4320"/>
          </w:tcPr>
          <w:p>
            <w:pPr>
              <w:spacing w:after="160"/>
            </w:pPr>
            <w:r/>
          </w:p>
        </w:tc>
        <w:tc>
          <w:tcPr>
            <w:tcW w:type="dxa" w:w="2448"/>
          </w:tcPr>
          <w:p>
            <w:pPr>
              <w:spacing w:after="160"/>
            </w:pPr>
            <w:r/>
          </w:p>
        </w:tc>
        <w:tc>
          <w:tcPr>
            <w:tcW w:type="dxa" w:w="1656"/>
          </w:tcPr>
          <w:p>
            <w:pPr>
              <w:spacing w:after="160"/>
            </w:pPr>
            <w:r/>
          </w:p>
        </w:tc>
        <w:tc>
          <w:tcPr>
            <w:tcW w:type="dxa" w:w="1728"/>
          </w:tcPr>
          <w:p>
            <w:pPr>
              <w:spacing w:after="160"/>
            </w:pPr>
            <w:r/>
          </w:p>
        </w:tc>
      </w:tr>
      <w:tr>
        <w:tc>
          <w:tcPr>
            <w:tcW w:type="dxa" w:w="1368"/>
          </w:tcPr>
          <w:p>
            <w:pPr>
              <w:spacing w:after="160"/>
            </w:pPr>
            <w:r/>
          </w:p>
        </w:tc>
        <w:tc>
          <w:tcPr>
            <w:tcW w:type="dxa" w:w="2304"/>
          </w:tcPr>
          <w:p>
            <w:pPr>
              <w:spacing w:after="160"/>
            </w:pPr>
            <w:r/>
          </w:p>
        </w:tc>
        <w:tc>
          <w:tcPr>
            <w:tcW w:type="dxa" w:w="4320"/>
          </w:tcPr>
          <w:p>
            <w:pPr>
              <w:spacing w:after="160"/>
            </w:pPr>
            <w:r/>
          </w:p>
        </w:tc>
        <w:tc>
          <w:tcPr>
            <w:tcW w:type="dxa" w:w="2448"/>
          </w:tcPr>
          <w:p>
            <w:pPr>
              <w:spacing w:after="160"/>
            </w:pPr>
            <w:r/>
          </w:p>
        </w:tc>
        <w:tc>
          <w:tcPr>
            <w:tcW w:type="dxa" w:w="1656"/>
          </w:tcPr>
          <w:p>
            <w:pPr>
              <w:spacing w:after="160"/>
            </w:pPr>
            <w:r/>
          </w:p>
        </w:tc>
        <w:tc>
          <w:tcPr>
            <w:tcW w:type="dxa" w:w="1728"/>
          </w:tcPr>
          <w:p>
            <w:pPr>
              <w:spacing w:after="160"/>
            </w:pPr>
            <w:r/>
          </w:p>
        </w:tc>
      </w:tr>
      <w:tr>
        <w:tc>
          <w:tcPr>
            <w:tcW w:type="dxa" w:w="1368"/>
          </w:tcPr>
          <w:p>
            <w:pPr>
              <w:spacing w:after="160"/>
            </w:pPr>
            <w:r/>
          </w:p>
        </w:tc>
        <w:tc>
          <w:tcPr>
            <w:tcW w:type="dxa" w:w="2304"/>
          </w:tcPr>
          <w:p>
            <w:pPr>
              <w:spacing w:after="160"/>
            </w:pPr>
            <w:r/>
          </w:p>
        </w:tc>
        <w:tc>
          <w:tcPr>
            <w:tcW w:type="dxa" w:w="4320"/>
          </w:tcPr>
          <w:p>
            <w:pPr>
              <w:spacing w:after="160"/>
            </w:pPr>
            <w:r/>
          </w:p>
        </w:tc>
        <w:tc>
          <w:tcPr>
            <w:tcW w:type="dxa" w:w="2448"/>
          </w:tcPr>
          <w:p>
            <w:pPr>
              <w:spacing w:after="160"/>
            </w:pPr>
            <w:r/>
          </w:p>
        </w:tc>
        <w:tc>
          <w:tcPr>
            <w:tcW w:type="dxa" w:w="1656"/>
          </w:tcPr>
          <w:p>
            <w:pPr>
              <w:spacing w:after="160"/>
            </w:pPr>
            <w:r/>
          </w:p>
        </w:tc>
        <w:tc>
          <w:tcPr>
            <w:tcW w:type="dxa" w:w="1728"/>
          </w:tcPr>
          <w:p>
            <w:pPr>
              <w:spacing w:after="160"/>
            </w:pPr>
            <w:r/>
          </w:p>
        </w:tc>
      </w:tr>
      <w:tr>
        <w:tc>
          <w:tcPr>
            <w:tcW w:type="dxa" w:w="1368"/>
          </w:tcPr>
          <w:p>
            <w:pPr>
              <w:spacing w:after="160"/>
            </w:pPr>
            <w:r/>
          </w:p>
        </w:tc>
        <w:tc>
          <w:tcPr>
            <w:tcW w:type="dxa" w:w="2304"/>
          </w:tcPr>
          <w:p>
            <w:pPr>
              <w:spacing w:after="160"/>
            </w:pPr>
            <w:r/>
          </w:p>
        </w:tc>
        <w:tc>
          <w:tcPr>
            <w:tcW w:type="dxa" w:w="4320"/>
          </w:tcPr>
          <w:p>
            <w:pPr>
              <w:spacing w:after="160"/>
            </w:pPr>
            <w:r/>
          </w:p>
        </w:tc>
        <w:tc>
          <w:tcPr>
            <w:tcW w:type="dxa" w:w="2448"/>
          </w:tcPr>
          <w:p>
            <w:pPr>
              <w:spacing w:after="160"/>
            </w:pPr>
            <w:r/>
          </w:p>
        </w:tc>
        <w:tc>
          <w:tcPr>
            <w:tcW w:type="dxa" w:w="1656"/>
          </w:tcPr>
          <w:p>
            <w:pPr>
              <w:spacing w:after="160"/>
            </w:pPr>
            <w:r/>
          </w:p>
        </w:tc>
        <w:tc>
          <w:tcPr>
            <w:tcW w:type="dxa" w:w="1728"/>
          </w:tcPr>
          <w:p>
            <w:pPr>
              <w:spacing w:after="160"/>
            </w:pPr>
            <w:r/>
          </w:p>
        </w:tc>
      </w:tr>
      <w:tr>
        <w:tc>
          <w:tcPr>
            <w:tcW w:type="dxa" w:w="1368"/>
          </w:tcPr>
          <w:p>
            <w:pPr>
              <w:spacing w:after="160"/>
            </w:pPr>
            <w:r/>
          </w:p>
        </w:tc>
        <w:tc>
          <w:tcPr>
            <w:tcW w:type="dxa" w:w="2304"/>
          </w:tcPr>
          <w:p>
            <w:pPr>
              <w:spacing w:after="160"/>
            </w:pPr>
            <w:r/>
          </w:p>
        </w:tc>
        <w:tc>
          <w:tcPr>
            <w:tcW w:type="dxa" w:w="4320"/>
          </w:tcPr>
          <w:p>
            <w:pPr>
              <w:spacing w:after="160"/>
            </w:pPr>
            <w:r/>
          </w:p>
        </w:tc>
        <w:tc>
          <w:tcPr>
            <w:tcW w:type="dxa" w:w="2448"/>
          </w:tcPr>
          <w:p>
            <w:pPr>
              <w:spacing w:after="160"/>
            </w:pPr>
            <w:r/>
          </w:p>
        </w:tc>
        <w:tc>
          <w:tcPr>
            <w:tcW w:type="dxa" w:w="1656"/>
          </w:tcPr>
          <w:p>
            <w:pPr>
              <w:spacing w:after="160"/>
            </w:pPr>
            <w:r/>
          </w:p>
        </w:tc>
        <w:tc>
          <w:tcPr>
            <w:tcW w:type="dxa" w:w="1728"/>
          </w:tcPr>
          <w:p>
            <w:pPr>
              <w:spacing w:after="160"/>
            </w:pPr>
            <w:r/>
          </w:p>
        </w:tc>
      </w:tr>
    </w:tbl>
    <w:p>
      <w:pPr>
        <w:spacing w:after="80"/>
      </w:pPr>
      <w:r>
        <w:rPr>
          <w:b w:val="0"/>
          <w:sz w:val="12"/>
        </w:rPr>
      </w:r>
    </w:p>
    <w:p>
      <w:pPr>
        <w:spacing w:after="0"/>
      </w:pPr>
      <w:r>
        <w:rPr>
          <w:b w:val="0"/>
          <w:color w:val="5B667A"/>
          <w:sz w:val="18"/>
        </w:rPr>
        <w:t>Example rows are illustrative only (a fictional matter). Replace them with entries from your own records. This template is provided free for use on your own matters and is not legal advice. For a chronology built automatically from a full record set, with every entry cited to its Bates or page number and quote-checked against the source, see med-legal.net/us/.</w:t>
      </w:r>
    </w:p>
    <w:sectPr w:rsidR="00FC693F" w:rsidRPr="0006063C" w:rsidSect="00034616">
      <w:pgSz w:w="15840" w:h="12240" w:orient="landscape"/>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eastAsia="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