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43B"/>
          <w:sz w:val="44"/>
        </w:rPr>
        <w:t>Medical Chronology Template</w:t>
      </w:r>
    </w:p>
    <w:p>
      <w:r>
        <w:rPr>
          <w:b/>
          <w:color w:val="1C7A55"/>
          <w:sz w:val="22"/>
        </w:rPr>
        <w:t>Free template — UK personal injury &amp; clinical negligence claims</w:t>
      </w:r>
    </w:p>
    <w:p/>
    <w:p>
      <w:r>
        <w:rPr>
          <w:b/>
          <w:color w:val="16243B"/>
          <w:sz w:val="24"/>
        </w:rPr>
        <w:t>How to use this template</w:t>
      </w:r>
    </w:p>
    <w:p>
      <w:pPr>
        <w:pStyle w:val="ListBullet"/>
      </w:pPr>
      <w:r>
        <w:rPr>
          <w:sz w:val="20"/>
        </w:rPr>
        <w:t>List every significant event in date order — presentation, investigation, diagnosis, treatment, review.</w:t>
      </w:r>
    </w:p>
    <w:p>
      <w:pPr>
        <w:pStyle w:val="ListBullet"/>
      </w:pPr>
      <w:r>
        <w:rPr>
          <w:sz w:val="20"/>
        </w:rPr>
        <w:t>Keep each entry short and factual: what happened, who by, and the key finding.</w:t>
      </w:r>
    </w:p>
    <w:p>
      <w:pPr>
        <w:pStyle w:val="ListBullet"/>
      </w:pPr>
      <w:r>
        <w:rPr>
          <w:sz w:val="20"/>
        </w:rPr>
        <w:t>Always complete the Source column — the document and page number the entry came from. An entry that can't be traced back to the record has to be re-checked by hand later.</w:t>
      </w:r>
    </w:p>
    <w:p>
      <w:pPr>
        <w:pStyle w:val="ListBullet"/>
      </w:pPr>
      <w:r>
        <w:rPr>
          <w:sz w:val="20"/>
        </w:rPr>
        <w:t>Use the Category column to flag entries relevant to causation, condition or prognosis, so they stand out on a long chronology.</w:t>
      </w:r>
    </w:p>
    <w:p>
      <w:pPr>
        <w:pStyle w:val="ListBullet"/>
      </w:pPr>
      <w:r>
        <w:rPr>
          <w:sz w:val="20"/>
        </w:rPr>
        <w:t>Keep patient details and NHS number on a separate cover sheet, not repeated on every page.</w:t>
      </w:r>
    </w:p>
    <w:p/>
    <w:p>
      <w:r>
        <w:rPr>
          <w:b/>
          <w:color w:val="16243B"/>
          <w:sz w:val="24"/>
        </w:rPr>
        <w:t>Patient details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592"/>
          </w:tcPr>
          <w:p>
            <w:r>
              <w:rPr>
                <w:b/>
                <w:sz w:val="20"/>
              </w:rPr>
              <w:t>Name</w:t>
            </w:r>
          </w:p>
        </w:tc>
        <w:tc>
          <w:tcPr>
            <w:tcW w:type="dxa" w:w="6336"/>
          </w:tcPr>
          <w:p>
            <w:r/>
          </w:p>
        </w:tc>
      </w:tr>
      <w:tr>
        <w:tc>
          <w:tcPr>
            <w:tcW w:type="dxa" w:w="2592"/>
          </w:tcPr>
          <w:p>
            <w:r>
              <w:rPr>
                <w:b/>
                <w:sz w:val="20"/>
              </w:rPr>
              <w:t>Date of birth</w:t>
            </w:r>
          </w:p>
        </w:tc>
        <w:tc>
          <w:tcPr>
            <w:tcW w:type="dxa" w:w="6336"/>
          </w:tcPr>
          <w:p>
            <w:r/>
          </w:p>
        </w:tc>
      </w:tr>
      <w:tr>
        <w:tc>
          <w:tcPr>
            <w:tcW w:type="dxa" w:w="2592"/>
          </w:tcPr>
          <w:p>
            <w:r>
              <w:rPr>
                <w:b/>
                <w:sz w:val="20"/>
              </w:rPr>
              <w:t>NHS number</w:t>
            </w:r>
          </w:p>
        </w:tc>
        <w:tc>
          <w:tcPr>
            <w:tcW w:type="dxa" w:w="6336"/>
          </w:tcPr>
          <w:p>
            <w:r/>
          </w:p>
        </w:tc>
      </w:tr>
      <w:tr>
        <w:tc>
          <w:tcPr>
            <w:tcW w:type="dxa" w:w="2592"/>
          </w:tcPr>
          <w:p>
            <w:r>
              <w:rPr>
                <w:b/>
                <w:sz w:val="20"/>
              </w:rPr>
              <w:t>Claim / matter reference</w:t>
            </w:r>
          </w:p>
        </w:tc>
        <w:tc>
          <w:tcPr>
            <w:tcW w:type="dxa" w:w="6336"/>
          </w:tcPr>
          <w:p>
            <w:r/>
          </w:p>
        </w:tc>
      </w:tr>
    </w:tbl>
    <w:p/>
    <w:p>
      <w:r>
        <w:rPr>
          <w:b/>
          <w:color w:val="16243B"/>
          <w:sz w:val="24"/>
        </w:rPr>
        <w:t>Chronology of events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80"/>
            <w:shd w:fill="1C7A55"/>
          </w:tcPr>
          <w:p>
            <w:r>
              <w:rPr>
                <w:b/>
                <w:color w:val="FFFFFF"/>
                <w:sz w:val="19"/>
              </w:rPr>
              <w:t>Date</w:t>
            </w:r>
          </w:p>
        </w:tc>
        <w:tc>
          <w:tcPr>
            <w:tcW w:type="dxa" w:w="3744"/>
            <w:shd w:fill="1C7A55"/>
          </w:tcPr>
          <w:p>
            <w:r>
              <w:rPr>
                <w:b/>
                <w:color w:val="FFFFFF"/>
                <w:sz w:val="19"/>
              </w:rPr>
              <w:t>Event / presentation</w:t>
            </w:r>
          </w:p>
        </w:tc>
        <w:tc>
          <w:tcPr>
            <w:tcW w:type="dxa" w:w="1656"/>
            <w:shd w:fill="1C7A55"/>
          </w:tcPr>
          <w:p>
            <w:r>
              <w:rPr>
                <w:b/>
                <w:color w:val="FFFFFF"/>
                <w:sz w:val="19"/>
              </w:rPr>
              <w:t>Provider</w:t>
            </w:r>
          </w:p>
        </w:tc>
        <w:tc>
          <w:tcPr>
            <w:tcW w:type="dxa" w:w="1512"/>
            <w:shd w:fill="1C7A55"/>
          </w:tcPr>
          <w:p>
            <w:r>
              <w:rPr>
                <w:b/>
                <w:color w:val="FFFFFF"/>
                <w:sz w:val="19"/>
              </w:rPr>
              <w:t>Category</w:t>
            </w:r>
          </w:p>
        </w:tc>
        <w:tc>
          <w:tcPr>
            <w:tcW w:type="dxa" w:w="1944"/>
            <w:shd w:fill="1C7A55"/>
          </w:tcPr>
          <w:p>
            <w:r>
              <w:rPr>
                <w:b/>
                <w:color w:val="FFFFFF"/>
                <w:sz w:val="19"/>
              </w:rPr>
              <w:t>Source (doc &amp; page)</w:t>
            </w:r>
          </w:p>
        </w:tc>
      </w:tr>
      <w:tr>
        <w:tc>
          <w:tcPr>
            <w:tcW w:type="dxa" w:w="1080"/>
          </w:tcPr>
          <w:p>
            <w:r>
              <w:rPr>
                <w:i/>
                <w:color w:val="5A6678"/>
                <w:sz w:val="19"/>
              </w:rPr>
              <w:t>15/06/2023</w:t>
            </w:r>
          </w:p>
        </w:tc>
        <w:tc>
          <w:tcPr>
            <w:tcW w:type="dxa" w:w="3744"/>
          </w:tcPr>
          <w:p>
            <w:r>
              <w:rPr>
                <w:i/>
                <w:color w:val="5A6678"/>
                <w:sz w:val="19"/>
              </w:rPr>
              <w:t>Presented to GP/SDEC with right-sided pleuritic chest pain, weight loss, night sweats and back pain; referred to exclude PE.</w:t>
            </w:r>
          </w:p>
        </w:tc>
        <w:tc>
          <w:tcPr>
            <w:tcW w:type="dxa" w:w="1656"/>
          </w:tcPr>
          <w:p>
            <w:r>
              <w:rPr>
                <w:i/>
                <w:color w:val="5A6678"/>
                <w:sz w:val="19"/>
              </w:rPr>
              <w:t>Dr Jackson (GP)</w:t>
            </w:r>
          </w:p>
        </w:tc>
        <w:tc>
          <w:tcPr>
            <w:tcW w:type="dxa" w:w="1512"/>
          </w:tcPr>
          <w:p>
            <w:r>
              <w:rPr>
                <w:i/>
                <w:color w:val="5A6678"/>
                <w:sz w:val="19"/>
              </w:rPr>
              <w:t>Presentation</w:t>
            </w:r>
          </w:p>
        </w:tc>
        <w:tc>
          <w:tcPr>
            <w:tcW w:type="dxa" w:w="1944"/>
          </w:tcPr>
          <w:p>
            <w:r>
              <w:rPr>
                <w:i/>
                <w:color w:val="5A6678"/>
                <w:sz w:val="19"/>
              </w:rPr>
              <w:t>GP records, p.12</w:t>
            </w:r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3744"/>
          </w:tcPr>
          <w:p>
            <w:r/>
          </w:p>
        </w:tc>
        <w:tc>
          <w:tcPr>
            <w:tcW w:type="dxa" w:w="1656"/>
          </w:tcPr>
          <w:p>
            <w:r/>
          </w:p>
        </w:tc>
        <w:tc>
          <w:tcPr>
            <w:tcW w:type="dxa" w:w="1512"/>
          </w:tcPr>
          <w:p>
            <w:r/>
          </w:p>
        </w:tc>
        <w:tc>
          <w:tcPr>
            <w:tcW w:type="dxa" w:w="1944"/>
          </w:tcPr>
          <w:p>
            <w:r/>
          </w:p>
        </w:tc>
      </w:tr>
    </w:tbl>
    <w:p/>
    <w:p>
      <w:r>
        <w:rPr>
          <w:color w:val="5A6678"/>
          <w:sz w:val="17"/>
        </w:rPr>
        <w:t xml:space="preserve">This template is provided free for use on your own matters. For a chronology built automatically from a full record set — every entry cited to its source page, in minutes rather than hours — see </w:t>
      </w:r>
      <w:r>
        <w:rPr>
          <w:b/>
          <w:color w:val="1C7A55"/>
          <w:sz w:val="17"/>
        </w:rPr>
        <w:t>med-legal.co.uk</w:t>
      </w:r>
      <w:r>
        <w:rPr>
          <w:color w:val="5A6678"/>
          <w:sz w:val="17"/>
        </w:rPr>
        <w:t>. First documents are free, no card required.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