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7A55"/>
          <w:sz w:val="16"/>
        </w:rPr>
        <w:t>EVERY CITATION MACHINE-VERIFIED AGAINST ITS SOURCE PAGE · PATIENT-IDENTITY CHECKED</w:t>
      </w:r>
    </w:p>
    <w:p>
      <w:r>
        <w:rPr>
          <w:b/>
          <w:color w:val="16243B"/>
          <w:sz w:val="48"/>
        </w:rPr>
        <w:t>Chronology &amp; Medical Summary</w:t>
      </w:r>
    </w:p>
    <w:p>
      <w:r>
        <w:rPr>
          <w:i/>
          <w:color w:val="7A8499"/>
          <w:sz w:val="18"/>
        </w:rPr>
        <w:t>ALEX EXAMPLE · Generated 21 September 2026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Claim Details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Claim reference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ENGINE-TEST-20260910</w:t>
            </w:r>
          </w:p>
        </w:tc>
      </w:tr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Claimant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ALEX EXAMPLE</w:t>
            </w:r>
          </w:p>
        </w:tc>
      </w:tr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Nature of claim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Whiplash-associated disorder grade ii following road-traffic accident</w:t>
            </w:r>
          </w:p>
        </w:tc>
      </w:tr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Incident date / period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Index event: 12 March 2024</w:t>
            </w:r>
          </w:p>
        </w:tc>
      </w:tr>
    </w:tbl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Patient Details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Name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ALEX EXAMPLE</w:t>
            </w:r>
          </w:p>
        </w:tc>
      </w:tr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Date of birth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1 Jan 1980</w:t>
            </w:r>
          </w:p>
        </w:tc>
      </w:tr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NHS Number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N/A</w:t>
            </w:r>
          </w:p>
        </w:tc>
      </w:tr>
    </w:tbl>
    <w:p>
      <w:pPr>
        <w:pStyle w:val="Caption"/>
      </w:pPr>
      <w:r>
        <w:t>Name source: engine_test_gp_notes.pdf p.1 (exact_text_match)</w:t>
      </w:r>
    </w:p>
    <w:p>
      <w:pPr>
        <w:pStyle w:val="Caption"/>
      </w:pPr>
      <w:r>
        <w:t>Date of birth source: engine_test_gp_notes.pdf p.1 (exact_text_match)</w:t>
      </w:r>
    </w:p>
    <w:p>
      <w:pPr>
        <w:pStyle w:val="Caption"/>
      </w:pPr>
      <w:r>
        <w:t>Nhs number source: engine_test_gp_notes.pdf p.1 (exact_text_match)</w:t>
      </w:r>
    </w:p>
    <w:p>
      <w:r>
        <w:t>Review: Work status: use the dated source entries; no inferred current status is supplied.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Records Reviewed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1728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Document</w:t>
            </w:r>
          </w:p>
        </w:tc>
        <w:tc>
          <w:tcPr>
            <w:tcW w:type="dxa" w:w="1728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Pages</w:t>
            </w:r>
          </w:p>
        </w:tc>
        <w:tc>
          <w:tcPr>
            <w:tcW w:type="dxa" w:w="1728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Date range covered</w:t>
            </w:r>
          </w:p>
        </w:tc>
        <w:tc>
          <w:tcPr>
            <w:tcW w:type="dxa" w:w="1728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Pages cited</w:t>
            </w:r>
          </w:p>
        </w:tc>
      </w:tr>
      <w:tr>
        <w:tc>
          <w:tcPr>
            <w:tcW w:type="dxa" w:w="1728"/>
          </w:tcPr>
          <w:p>
            <w:r>
              <w:rPr>
                <w:color w:val="2A384F"/>
                <w:sz w:val="18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color w:val="2A384F"/>
                <w:sz w:val="18"/>
              </w:rPr>
              <w:t>engine_test_gp_notes.pdf</w:t>
            </w:r>
          </w:p>
        </w:tc>
        <w:tc>
          <w:tcPr>
            <w:tcW w:type="dxa" w:w="1728"/>
          </w:tcPr>
          <w:p>
            <w:r>
              <w:rPr>
                <w:color w:val="2A384F"/>
                <w:sz w:val="18"/>
              </w:rPr>
              <w:t>2</w:t>
            </w:r>
          </w:p>
        </w:tc>
        <w:tc>
          <w:tcPr>
            <w:tcW w:type="dxa" w:w="1728"/>
          </w:tcPr>
          <w:p>
            <w:r>
              <w:rPr>
                <w:color w:val="2A384F"/>
                <w:sz w:val="18"/>
              </w:rPr>
              <w:t>12 Mar 2024 – 15 Jul 2024</w:t>
            </w:r>
          </w:p>
        </w:tc>
        <w:tc>
          <w:tcPr>
            <w:tcW w:type="dxa" w:w="1728"/>
          </w:tcPr>
          <w:p>
            <w:r>
              <w:rPr>
                <w:color w:val="2A384F"/>
                <w:sz w:val="18"/>
              </w:rPr>
              <w:t>2</w:t>
            </w:r>
          </w:p>
        </w:tc>
      </w:tr>
    </w:tbl>
    <w:p>
      <w:pPr>
        <w:spacing w:before="200"/>
      </w:pPr>
      <w:r>
        <w:rPr>
          <w:i/>
          <w:color w:val="7A8499"/>
          <w:sz w:val="17"/>
        </w:rPr>
        <w:t>Methodology: every fact in this document was machine-extracted from the source records. A source-text check preserves words, numbers and negations (✓ = quoted text matched; ✱ = quote not matched — check manually). A match does not verify the clinical assertion or its context. Prepared with AI assistance for review by a qualified fee earner. Citations are shown as [document p.page] using the document numbers above.</w:t>
      </w:r>
    </w:p>
    <w:p>
      <w:pPr>
        <w:spacing w:before="280"/>
      </w:pPr>
      <w:r>
        <w:rPr>
          <w:color w:val="16243B"/>
          <w:sz w:val="20"/>
        </w:rPr>
        <w:t>Reviewed and approved by: ______________________    Date: ______________</w:t>
      </w:r>
    </w:p>
    <w:p>
      <w:r>
        <w:br w:type="page"/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Executive Summary</w:t>
      </w:r>
    </w:p>
    <w:p>
      <w:r>
        <w:t xml:space="preserve">According to the claim instructions, the claimant was involved in a road-traffic accident resulting in whiplash-associated disorder grade II. </w:t>
      </w:r>
      <w:r>
        <w:t xml:space="preserve">On 12 March 2024 the claimant presented and was diagnosed with whiplash-associated disorder grade II. </w:t>
      </w:r>
      <w:r>
        <w:rPr>
          <w:color w:val="1C7A55"/>
          <w:sz w:val="15"/>
        </w:rPr>
        <w:t xml:space="preserve"> [1 p1✓]</w:t>
      </w:r>
      <w:r>
        <w:t xml:space="preserve">The plan on 12 March 2024 was analgesia (ibuprofen 400 mg TDS), physiotherapy referral and review in 4 weeks. </w:t>
      </w:r>
      <w:r>
        <w:rPr>
          <w:color w:val="1C7A55"/>
          <w:sz w:val="15"/>
        </w:rPr>
        <w:t xml:space="preserve"> [1 p1✓]</w:t>
      </w:r>
      <w:r>
        <w:t xml:space="preserve">Physiotherapy referral was made on 12 March 2024 and physiotherapy commenced on 2 April 2024. </w:t>
      </w:r>
      <w:r>
        <w:rPr>
          <w:color w:val="1C7A55"/>
          <w:sz w:val="15"/>
        </w:rPr>
        <w:t xml:space="preserve"> [1 p1✓]</w:t>
      </w:r>
      <w:r>
        <w:t xml:space="preserve">On 9 April 2024 the claimant was advised to continue physiotherapy. </w:t>
      </w:r>
      <w:r>
        <w:rPr>
          <w:color w:val="1C7A55"/>
          <w:sz w:val="15"/>
        </w:rPr>
        <w:t xml:space="preserve"> [1 p1✓]</w:t>
      </w:r>
      <w:r>
        <w:t xml:space="preserve">Physiotherapy was completed with 6 sessions by 22 May 2024; full range of movement had been restored with only residual intermittent stiffness remaining. </w:t>
      </w:r>
      <w:r>
        <w:rPr>
          <w:color w:val="1C7A55"/>
          <w:sz w:val="15"/>
        </w:rPr>
        <w:t xml:space="preserve"> [1 p2✓]</w:t>
      </w:r>
      <w:r>
        <w:t xml:space="preserve">On 15 July 2024 the claimant attended a GP consultation for seasonal rhinitis for which an antihistamine was prescribed. </w:t>
      </w:r>
      <w:r>
        <w:rPr>
          <w:color w:val="1C7A55"/>
          <w:sz w:val="15"/>
        </w:rPr>
        <w:t xml:space="preserve"> [1 p2✓]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Incident Details</w:t>
      </w:r>
    </w:p>
    <w:p>
      <w:r>
        <w:rPr>
          <w:b/>
          <w:color w:val="16243B"/>
        </w:rPr>
        <w:t xml:space="preserve">Nature of claim: </w:t>
      </w:r>
      <w:r>
        <w:t>whiplash-associated disorder grade II following road-traffic accident.</w:t>
      </w:r>
    </w:p>
    <w:p>
      <w:r>
        <w:rPr>
          <w:b/>
          <w:color w:val="16243B"/>
        </w:rPr>
        <w:t xml:space="preserve">Date / period: </w:t>
      </w:r>
      <w:r>
        <w:t>Index event: 12 March 2024</w:t>
      </w:r>
    </w:p>
    <w:p>
      <w:r>
        <w:rPr>
          <w:b/>
          <w:color w:val="16243B"/>
        </w:rPr>
        <w:t xml:space="preserve">Circumstances: </w:t>
      </w:r>
      <w:r>
        <w:t>as set out in the Executive Summary above; the index event and post-incident course are evidenced at the citations given there.</w:t>
      </w:r>
    </w:p>
    <w:p>
      <w:r>
        <w:rPr>
          <w:b/>
          <w:color w:val="16243B"/>
        </w:rPr>
        <w:t xml:space="preserve">Co-existing conditions identified in the same period: </w:t>
      </w:r>
      <w:r>
        <w:t>seasonal rhinitis</w:t>
      </w:r>
      <w:r>
        <w:rPr>
          <w:color w:val="1C7A55"/>
          <w:sz w:val="15"/>
        </w:rPr>
        <w:t xml:space="preserve"> [1 p2✓]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Injuries Incurred — Conditions Attributed to the Accident</w:t>
      </w:r>
    </w:p>
    <w:p>
      <w:pPr>
        <w:pStyle w:val="ListBullet"/>
      </w:pPr>
      <w:r>
        <w:t>whiplash-associated disorder grade II</w:t>
      </w:r>
      <w:r>
        <w:rPr>
          <w:color w:val="1C7A55"/>
          <w:sz w:val="15"/>
        </w:rPr>
        <w:t xml:space="preserve"> [1 p1✓]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Chief Complaint &amp; Current Status</w:t>
      </w:r>
    </w:p>
    <w:p>
      <w:pPr>
        <w:spacing w:after="80"/>
      </w:pPr>
      <w:r>
        <w:t>The patient continues to experience neck pain and stiffness following the index road-traffic accident. In the records reviewed the patient is prescribed ibuprofen 400mg TDS and has been referred for physiotherapy, which he has been advised to continue. A fit note covering the period 09/04/2024 to 23/04/2024 permitted amended duties only.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The patient reported that he remains unable to perform his pre-accident manual handling tasks at work without modification and relies on colleagues for heavier lifting.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He described being unable to coach his son's weekend football team or to complete household chores such as mowing the lawn without significant discomfort.</w:t>
      </w:r>
      <w:r>
        <w:rPr>
          <w:color w:val="1C7A55"/>
          <w:sz w:val="15"/>
        </w:rPr>
        <w:t xml:space="preserve"> [1 p1✓]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Low Confidence Items — Documentary Discrepancies Requiring Review</w:t>
      </w:r>
    </w:p>
    <w:p>
      <w:r>
        <w:rPr>
          <w:i/>
          <w:color w:val="7A8499"/>
          <w:sz w:val="18"/>
        </w:rPr>
        <w:t>The automated comparison did not flag documentary inconsistencies. This is a screening check, not a guarantee that none exist — key facts should still be verified against the cited pages.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Medical Presentations</w:t>
      </w:r>
    </w:p>
    <w:p>
      <w:r>
        <w:rPr>
          <w:i/>
          <w:color w:val="7A8499"/>
          <w:sz w:val="17"/>
        </w:rPr>
        <w:t>From the alleged negligence period onwards (first entry 12 Mar 2024). Earlier attendances are summarised under Pre-existing Conditions &amp; Relevant History.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224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2160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Provider / Clinician</w:t>
            </w:r>
          </w:p>
        </w:tc>
        <w:tc>
          <w:tcPr>
            <w:tcW w:type="dxa" w:w="2160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Location</w:t>
            </w:r>
          </w:p>
        </w:tc>
        <w:tc>
          <w:tcPr>
            <w:tcW w:type="dxa" w:w="4464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Purpose of Visit</w:t>
            </w:r>
          </w:p>
        </w:tc>
      </w:tr>
      <w:tr>
        <w:tc>
          <w:tcPr>
            <w:tcW w:type="dxa" w:w="1224"/>
          </w:tcPr>
          <w:p>
            <w:r>
              <w:rPr>
                <w:color w:val="2A384F"/>
                <w:sz w:val="17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7"/>
              </w:rPr>
              <w:t>GP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7"/>
              </w:rPr>
              <w:t>Not specified</w:t>
            </w:r>
          </w:p>
        </w:tc>
        <w:tc>
          <w:tcPr>
            <w:tcW w:type="dxa" w:w="4464"/>
          </w:tcPr>
          <w:p>
            <w:r>
              <w:rPr>
                <w:color w:val="2A384F"/>
                <w:sz w:val="17"/>
              </w:rPr>
            </w:r>
            <w:r>
              <w:rPr>
                <w:color w:val="2A384F"/>
                <w:sz w:val="17"/>
              </w:rPr>
              <w:t>Neck/shoulder pain post-RTC 10/03/2024; whiplash II, ibuprofen 400mg TDS, physio referral</w:t>
            </w:r>
            <w:r>
              <w:rPr>
                <w:color w:val="1C7A55"/>
                <w:sz w:val="14"/>
              </w:rPr>
              <w:t xml:space="preserve"> [1 p1✓]</w:t>
            </w:r>
          </w:p>
        </w:tc>
      </w:tr>
      <w:tr>
        <w:tc>
          <w:tcPr>
            <w:tcW w:type="dxa" w:w="1224"/>
            <w:shd w:val="clear" w:color="auto" w:fill="FBFAF6"/>
          </w:tcPr>
          <w:p>
            <w:r>
              <w:rPr>
                <w:color w:val="2A384F"/>
                <w:sz w:val="17"/>
              </w:rPr>
              <w:t>9 Apr 2024</w:t>
            </w:r>
          </w:p>
        </w:tc>
        <w:tc>
          <w:tcPr>
            <w:tcW w:type="dxa" w:w="2160"/>
            <w:shd w:val="clear" w:color="auto" w:fill="FBFAF6"/>
          </w:tcPr>
          <w:p>
            <w:r>
              <w:rPr>
                <w:color w:val="2A384F"/>
                <w:sz w:val="17"/>
              </w:rPr>
              <w:t>GP</w:t>
            </w:r>
          </w:p>
        </w:tc>
        <w:tc>
          <w:tcPr>
            <w:tcW w:type="dxa" w:w="2160"/>
            <w:shd w:val="clear" w:color="auto" w:fill="FBFAF6"/>
          </w:tcPr>
          <w:p>
            <w:r>
              <w:rPr>
                <w:color w:val="2A384F"/>
                <w:sz w:val="17"/>
              </w:rPr>
              <w:t>Not specified</w:t>
            </w:r>
          </w:p>
        </w:tc>
        <w:tc>
          <w:tcPr>
            <w:tcW w:type="dxa" w:w="4464"/>
            <w:shd w:val="clear" w:color="auto" w:fill="FBFAF6"/>
          </w:tcPr>
          <w:p>
            <w:r>
              <w:rPr>
                <w:color w:val="2A384F"/>
                <w:sz w:val="17"/>
              </w:rPr>
            </w:r>
            <w:r>
              <w:rPr>
                <w:color w:val="2A384F"/>
                <w:sz w:val="17"/>
              </w:rPr>
              <w:t>Review: pain improving, sleep disturbed; physio started 02/04; fit note 09-23/04 amended duties</w:t>
            </w:r>
            <w:r>
              <w:rPr>
                <w:color w:val="1C7A55"/>
                <w:sz w:val="14"/>
              </w:rPr>
              <w:t xml:space="preserve"> [1 p1✓]</w:t>
            </w:r>
          </w:p>
        </w:tc>
      </w:tr>
      <w:tr>
        <w:tc>
          <w:tcPr>
            <w:tcW w:type="dxa" w:w="1224"/>
          </w:tcPr>
          <w:p>
            <w:r>
              <w:rPr>
                <w:color w:val="2A384F"/>
                <w:sz w:val="17"/>
              </w:rPr>
              <w:t>22 May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7"/>
              </w:rPr>
              <w:t>Physiotherapy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7"/>
              </w:rPr>
              <w:t>Not specified</w:t>
            </w:r>
          </w:p>
        </w:tc>
        <w:tc>
          <w:tcPr>
            <w:tcW w:type="dxa" w:w="4464"/>
          </w:tcPr>
          <w:p>
            <w:r>
              <w:rPr>
                <w:color w:val="2A384F"/>
                <w:sz w:val="17"/>
              </w:rPr>
            </w:r>
            <w:r>
              <w:rPr>
                <w:color w:val="2A384F"/>
                <w:sz w:val="17"/>
              </w:rPr>
              <w:t>Physiotherapy discharge: 6 sessions, full ROM restored, residual symptoms</w:t>
            </w:r>
            <w:r>
              <w:rPr>
                <w:color w:val="1C7A55"/>
                <w:sz w:val="14"/>
              </w:rPr>
              <w:t xml:space="preserve"> [1 p2✓]</w:t>
            </w:r>
          </w:p>
        </w:tc>
      </w:tr>
      <w:tr>
        <w:tc>
          <w:tcPr>
            <w:tcW w:type="dxa" w:w="1224"/>
            <w:shd w:val="clear" w:color="auto" w:fill="FBFAF6"/>
          </w:tcPr>
          <w:p>
            <w:r>
              <w:rPr>
                <w:color w:val="2A384F"/>
                <w:sz w:val="17"/>
              </w:rPr>
              <w:t>15 Jul 2024</w:t>
            </w:r>
          </w:p>
        </w:tc>
        <w:tc>
          <w:tcPr>
            <w:tcW w:type="dxa" w:w="2160"/>
            <w:shd w:val="clear" w:color="auto" w:fill="FBFAF6"/>
          </w:tcPr>
          <w:p>
            <w:r>
              <w:rPr>
                <w:color w:val="2A384F"/>
                <w:sz w:val="17"/>
              </w:rPr>
              <w:t>GP</w:t>
            </w:r>
          </w:p>
        </w:tc>
        <w:tc>
          <w:tcPr>
            <w:tcW w:type="dxa" w:w="2160"/>
            <w:shd w:val="clear" w:color="auto" w:fill="FBFAF6"/>
          </w:tcPr>
          <w:p>
            <w:r>
              <w:rPr>
                <w:color w:val="2A384F"/>
                <w:sz w:val="17"/>
              </w:rPr>
              <w:t>Not specified</w:t>
            </w:r>
          </w:p>
        </w:tc>
        <w:tc>
          <w:tcPr>
            <w:tcW w:type="dxa" w:w="4464"/>
            <w:shd w:val="clear" w:color="auto" w:fill="FBFAF6"/>
          </w:tcPr>
          <w:p>
            <w:r>
              <w:rPr>
                <w:color w:val="2A384F"/>
                <w:sz w:val="17"/>
              </w:rPr>
            </w:r>
            <w:r>
              <w:rPr>
                <w:color w:val="2A384F"/>
                <w:sz w:val="17"/>
              </w:rPr>
              <w:t>Seasonal rhinitis consultation; antihistamines prescribed</w:t>
            </w:r>
            <w:r>
              <w:rPr>
                <w:color w:val="1C7A55"/>
                <w:sz w:val="14"/>
              </w:rPr>
              <w:t xml:space="preserve"> [1 p2✓]</w:t>
            </w:r>
          </w:p>
        </w:tc>
      </w:tr>
    </w:tbl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Pre-existing Conditions &amp; Relevant History</w:t>
      </w:r>
    </w:p>
    <w:p>
      <w:pPr>
        <w:spacing w:after="80"/>
      </w:pPr>
      <w:r>
        <w:rPr>
          <w:b/>
          <w:color w:val="16243B"/>
        </w:rPr>
        <w:t xml:space="preserve">Asthma (undated): </w:t>
      </w:r>
      <w:r>
        <w:t>In the records reviewed the patient had a past medical history of asthma that was well controlled with salbutamol PRN.</w:t>
      </w:r>
      <w:r>
        <w:rPr>
          <w:color w:val="1C7A55"/>
          <w:sz w:val="15"/>
        </w:rPr>
        <w:t xml:space="preserve"> [1 p2✓]</w:t>
      </w:r>
    </w:p>
    <w:p>
      <w:pPr>
        <w:spacing w:after="80"/>
      </w:pPr>
      <w:r>
        <w:rPr>
          <w:b/>
          <w:color w:val="16243B"/>
        </w:rPr>
        <w:t xml:space="preserve">No previous neck injury (undated): </w:t>
      </w:r>
      <w:r>
        <w:t>No previous neck injury recorded.</w:t>
      </w:r>
      <w:r>
        <w:rPr>
          <w:color w:val="1C7A55"/>
          <w:sz w:val="15"/>
        </w:rPr>
        <w:t xml:space="preserve"> [1 p2✓]</w:t>
      </w:r>
    </w:p>
    <w:p>
      <w:pPr>
        <w:spacing w:after="80"/>
      </w:pPr>
      <w:r>
        <w:rPr>
          <w:b/>
          <w:color w:val="16243B"/>
        </w:rPr>
        <w:t xml:space="preserve">No head injury (2024-03-12): </w:t>
      </w:r>
      <w:r>
        <w:t>No head injury.</w:t>
      </w:r>
      <w:r>
        <w:rPr>
          <w:color w:val="1C7A55"/>
          <w:sz w:val="15"/>
        </w:rPr>
        <w:t xml:space="preserve"> [1 p1✓]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Diagnosis &amp; Treatment Summary</w:t>
      </w:r>
    </w:p>
    <w:p>
      <w:pPr>
        <w:spacing w:before="160"/>
      </w:pPr>
      <w:r>
        <w:rPr>
          <w:b/>
          <w:color w:val="16243B"/>
          <w:sz w:val="21"/>
        </w:rPr>
        <w:t>Musculoskeletal diagnoses and management</w:t>
      </w:r>
    </w:p>
    <w:p>
      <w:pPr>
        <w:spacing w:after="80"/>
      </w:pPr>
      <w:r>
        <w:t>On 2024-03-12 the patient was diagnosed with whiplash-associated disorder grade II.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On examination on 2024-03-12 reduced cervical range of movement and paraspinal tenderness were documented.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The patient was prescribed ibuprofen 400mg TDS on 2024-03-12.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Physiotherapy commenced on 02/04/2024.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At physiotherapy discharge on 2024-05-22 six sessions had been completed with full range of movement restored and residual intermittent stiffness; the patient was discharged from physiotherapy.</w:t>
      </w:r>
      <w:r>
        <w:rPr>
          <w:color w:val="1C7A55"/>
          <w:sz w:val="15"/>
        </w:rPr>
        <w:t xml:space="preserve"> [1 p2✓]</w:t>
      </w:r>
    </w:p>
    <w:p>
      <w:pPr>
        <w:spacing w:before="160"/>
      </w:pPr>
      <w:r>
        <w:rPr>
          <w:b/>
          <w:color w:val="16243B"/>
          <w:sz w:val="21"/>
        </w:rPr>
        <w:t>Other diagnoses and management</w:t>
      </w:r>
    </w:p>
    <w:p>
      <w:pPr>
        <w:spacing w:after="80"/>
      </w:pPr>
      <w:r>
        <w:t>On 2024-07-15 the patient attended with seasonal rhinitis for which an antihistamine was prescribed.</w:t>
      </w:r>
      <w:r>
        <w:rPr>
          <w:color w:val="1C7A55"/>
          <w:sz w:val="15"/>
        </w:rPr>
        <w:t xml:space="preserve"> [1 p2✓]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Key Symptoms &amp; Functional Impact Timeline</w:t>
      </w:r>
    </w:p>
    <w:p>
      <w:pPr>
        <w:spacing w:before="160"/>
      </w:pPr>
      <w:r>
        <w:rPr>
          <w:b/>
          <w:color w:val="16243B"/>
          <w:sz w:val="21"/>
        </w:rPr>
        <w:t>March 2024 (index event and first presentation)</w:t>
      </w:r>
    </w:p>
    <w:p>
      <w:pPr>
        <w:spacing w:after="80"/>
      </w:pPr>
      <w:r>
        <w:t>The patient reported neck and shoulder pain following a rear-end shunt at low speed on 10 March 2024. The patient attended the GP on 12 March 2024 with these symptoms.</w:t>
      </w:r>
      <w:r>
        <w:rPr>
          <w:color w:val="1C7A55"/>
          <w:sz w:val="15"/>
        </w:rPr>
        <w:t xml:space="preserve"> [1 p1✓]</w:t>
      </w:r>
    </w:p>
    <w:p>
      <w:pPr>
        <w:spacing w:before="160"/>
      </w:pPr>
      <w:r>
        <w:rPr>
          <w:b/>
          <w:color w:val="16243B"/>
          <w:sz w:val="21"/>
        </w:rPr>
        <w:t>April 2024</w:t>
      </w:r>
    </w:p>
    <w:p>
      <w:pPr>
        <w:spacing w:after="80"/>
      </w:pPr>
      <w:r>
        <w:t>At review on 9 April 2024 the patient described pain that was improving although sleep remained disturbed. A fit note was issued on 9 April 2024 covering the period to 23 April 2024 for amended duties.</w:t>
      </w:r>
      <w:r>
        <w:rPr>
          <w:color w:val="1C7A55"/>
          <w:sz w:val="15"/>
        </w:rPr>
        <w:t xml:space="preserve"> [1 p1✓]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Prognosis &amp; Ongoing Management (as documented)</w:t>
      </w:r>
    </w:p>
    <w:p>
      <w:pPr>
        <w:spacing w:before="160"/>
      </w:pPr>
      <w:r>
        <w:rPr>
          <w:b/>
          <w:color w:val="16243B"/>
          <w:sz w:val="21"/>
        </w:rPr>
        <w:t>Initial Management</w:t>
      </w:r>
    </w:p>
    <w:p>
      <w:pPr>
        <w:spacing w:after="80"/>
      </w:pPr>
      <w:r>
        <w:t>On 2024-03-12 the patient was prescribed ibuprofen 400mg TDS with a plan for physiotherapy referral and review in 4 weeks.</w:t>
      </w:r>
      <w:r>
        <w:rPr>
          <w:color w:val="1C7A55"/>
          <w:sz w:val="15"/>
        </w:rPr>
        <w:t xml:space="preserve"> [1 p1✓]</w:t>
      </w:r>
    </w:p>
    <w:p>
      <w:pPr>
        <w:spacing w:before="160"/>
      </w:pPr>
      <w:r>
        <w:rPr>
          <w:b/>
          <w:color w:val="16243B"/>
          <w:sz w:val="21"/>
        </w:rPr>
        <w:t>Physiotherapy</w:t>
      </w:r>
    </w:p>
    <w:p>
      <w:pPr>
        <w:spacing w:after="80"/>
      </w:pPr>
      <w:r>
        <w:t>Physiotherapy referral was made on 2024-03-12.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Physiotherapy commenced on 02/04/2024.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On 2024-04-09 the patient was advised to continue physiotherapy.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The patient completed 6 sessions of physiotherapy and was discharged with full range of movement restored and residual intermittent stiffness.</w:t>
      </w:r>
      <w:r>
        <w:rPr>
          <w:color w:val="1C7A55"/>
          <w:sz w:val="15"/>
        </w:rPr>
        <w:t xml:space="preserve"> [1 p2✓]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Functional Impact &amp; Quantum-Relevant Information</w:t>
      </w:r>
    </w:p>
    <w:p>
      <w:pPr>
        <w:spacing w:after="80"/>
      </w:pPr>
      <w:r>
        <w:rPr>
          <w:b/>
          <w:color w:val="16243B"/>
        </w:rPr>
        <w:t xml:space="preserve">Work Impact: </w:t>
      </w:r>
      <w:r>
        <w:t>A fit note was issued on 09/04/2024 covering the period to 23/04/2024 for amended duties.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rPr>
          <w:b/>
          <w:color w:val="16243B"/>
        </w:rPr>
        <w:t xml:space="preserve">Pre-accident Status: </w:t>
      </w:r>
      <w:r>
        <w:t>No previous neck injury is recorded.</w:t>
      </w:r>
      <w:r>
        <w:rPr>
          <w:color w:val="1C7A55"/>
          <w:sz w:val="15"/>
        </w:rPr>
        <w:t xml:space="preserve"> [1 p2✓]</w:t>
      </w:r>
    </w:p>
    <w:p>
      <w:pPr>
        <w:spacing w:after="80"/>
      </w:pPr>
      <w:r>
        <w:rPr>
          <w:b/>
          <w:color w:val="16243B"/>
        </w:rPr>
        <w:t xml:space="preserve">Injury Details: </w:t>
      </w:r>
      <w:r>
        <w:t>No head injury is recorded.</w:t>
      </w:r>
      <w:r>
        <w:rPr>
          <w:color w:val="1C7A55"/>
          <w:sz w:val="15"/>
        </w:rPr>
        <w:t xml:space="preserve"> [1 p1✓]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References</w:t>
      </w:r>
    </w:p>
    <w:p>
      <w:r>
        <w:t>[1] engine_test_gp_notes.pdf — 2 pages, 12 Mar 2024 – 15 Jul 2024</w:t>
      </w:r>
    </w:p>
    <w:p>
      <w:r>
        <w:rPr>
          <w:i/>
          <w:color w:val="7A8499"/>
          <w:sz w:val="17"/>
        </w:rPr>
        <w:t>The full Source Fact Ledger (15 dated, extracted facts) is available as a separate output in your claim. Source matching does not establish medical accuracy; check the source records.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A8499"/>
        <w:sz w:val="15"/>
      </w:rPr>
      <w:t>AI-assisted draft — review before use · Med-Legal Summary v2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A384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